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:"...</w:t>
      </w:r>
      <w:r w:rsidDel="00000000" w:rsidR="00000000" w:rsidRPr="00000000">
        <w:rPr>
          <w:rtl w:val="1"/>
        </w:rPr>
        <w:t xml:space="preserve">וישמרו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וישמרו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הזכרונות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׳: "...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לבנותו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מילובאויטש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בפשטות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b w:val="1"/>
          <w:rtl w:val="0"/>
        </w:rPr>
        <w:t xml:space="preserve"> *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ובנוגע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וארגמן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בתוכם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6.</w:t>
      </w:r>
      <w:r w:rsidDel="00000000" w:rsidR="00000000" w:rsidRPr="00000000">
        <w:rPr>
          <w:rtl w:val="1"/>
        </w:rPr>
        <w:t xml:space="preserve">יריעות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סידור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בתיקונו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מרמז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דתחילה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מלכויות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מאש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וכונן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7.</w:t>
      </w:r>
      <w:r w:rsidDel="00000000" w:rsidR="00000000" w:rsidRPr="00000000">
        <w:rPr>
          <w:rtl w:val="1"/>
        </w:rPr>
        <w:t xml:space="preserve">שושנים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לדוד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הקדמה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מעליו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הבונים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b w:val="1"/>
          <w:rtl w:val="1"/>
        </w:rPr>
        <w:t xml:space="preserve">וכמעט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וישתכלל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בסיוע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